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4E5619">
      <w:pPr>
        <w:tabs>
          <w:tab w:val="left" w:pos="4402"/>
        </w:tabs>
        <w:spacing w:before="0" w:after="0" w:line="360" w:lineRule="auto"/>
        <w:ind w:left="0" w:right="0" w:firstLine="0"/>
        <w:jc w:val="center"/>
        <w:rPr>
          <w:rFonts w:hint="eastAsia" w:ascii="方正小标宋简体" w:hAnsi="方正小标宋简体" w:eastAsia="方正小标宋简体" w:cs="方正小标宋简体"/>
          <w:b w:val="0"/>
          <w:bCs/>
          <w:color w:val="000000" w:themeColor="text1"/>
          <w:spacing w:val="0"/>
          <w:position w:val="0"/>
          <w:sz w:val="44"/>
          <w:szCs w:val="44"/>
          <w:shd w:val="clear" w:fill="auto"/>
          <w14:textFill>
            <w14:solidFill>
              <w14:schemeClr w14:val="tx1"/>
            </w14:solidFill>
          </w14:textFill>
        </w:rPr>
      </w:pPr>
    </w:p>
    <w:p w14:paraId="59730060">
      <w:pPr>
        <w:tabs>
          <w:tab w:val="left" w:pos="4402"/>
        </w:tabs>
        <w:spacing w:before="0" w:after="0" w:line="360" w:lineRule="auto"/>
        <w:ind w:left="0" w:right="0" w:firstLine="0"/>
        <w:jc w:val="center"/>
        <w:rPr>
          <w:rFonts w:hint="eastAsia" w:ascii="方正小标宋简体" w:hAnsi="方正小标宋简体" w:eastAsia="方正小标宋简体" w:cs="方正小标宋简体"/>
          <w:b w:val="0"/>
          <w:bCs/>
          <w:color w:val="000000" w:themeColor="text1"/>
          <w:spacing w:val="0"/>
          <w:position w:val="0"/>
          <w:sz w:val="44"/>
          <w:szCs w:val="44"/>
          <w:shd w:val="clear" w:fill="auto"/>
          <w14:textFill>
            <w14:solidFill>
              <w14:schemeClr w14:val="tx1"/>
            </w14:solidFill>
          </w14:textFill>
        </w:rPr>
      </w:pPr>
      <w:r>
        <w:rPr>
          <w:rFonts w:hint="eastAsia" w:ascii="方正小标宋简体" w:hAnsi="方正小标宋简体" w:eastAsia="方正小标宋简体" w:cs="方正小标宋简体"/>
          <w:b w:val="0"/>
          <w:bCs/>
          <w:color w:val="000000" w:themeColor="text1"/>
          <w:spacing w:val="0"/>
          <w:position w:val="0"/>
          <w:sz w:val="44"/>
          <w:szCs w:val="44"/>
          <w:shd w:val="clear" w:fill="auto"/>
          <w14:textFill>
            <w14:solidFill>
              <w14:schemeClr w14:val="tx1"/>
            </w14:solidFill>
          </w14:textFill>
        </w:rPr>
        <w:t>吉林省古树名木保护条例</w:t>
      </w:r>
    </w:p>
    <w:p w14:paraId="37DB4378">
      <w:pPr>
        <w:tabs>
          <w:tab w:val="left" w:pos="4402"/>
        </w:tabs>
        <w:spacing w:before="0" w:after="0" w:line="360" w:lineRule="auto"/>
        <w:ind w:left="0" w:right="0" w:firstLine="0"/>
        <w:jc w:val="both"/>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rPr>
        <w:t>20</w:t>
      </w:r>
      <w:r>
        <w:rPr>
          <w:rFonts w:hint="eastAsia" w:ascii="楷体" w:hAnsi="楷体" w:eastAsia="楷体" w:cs="楷体"/>
          <w:sz w:val="32"/>
          <w:szCs w:val="32"/>
          <w:lang w:val="en-US" w:eastAsia="zh-CN"/>
        </w:rPr>
        <w:t>25</w:t>
      </w:r>
      <w:r>
        <w:rPr>
          <w:rFonts w:hint="eastAsia" w:ascii="楷体" w:hAnsi="楷体" w:eastAsia="楷体" w:cs="楷体"/>
          <w:sz w:val="32"/>
          <w:szCs w:val="32"/>
        </w:rPr>
        <w:t>年</w:t>
      </w:r>
      <w:r>
        <w:rPr>
          <w:rFonts w:hint="eastAsia" w:ascii="楷体" w:hAnsi="楷体" w:eastAsia="楷体" w:cs="楷体"/>
          <w:sz w:val="32"/>
          <w:szCs w:val="32"/>
          <w:lang w:val="en-US" w:eastAsia="zh-CN"/>
        </w:rPr>
        <w:t>7</w:t>
      </w:r>
      <w:r>
        <w:rPr>
          <w:rFonts w:hint="eastAsia" w:ascii="楷体" w:hAnsi="楷体" w:eastAsia="楷体" w:cs="楷体"/>
          <w:sz w:val="32"/>
          <w:szCs w:val="32"/>
        </w:rPr>
        <w:t>月</w:t>
      </w:r>
      <w:r>
        <w:rPr>
          <w:rFonts w:hint="eastAsia" w:ascii="楷体" w:hAnsi="楷体" w:eastAsia="楷体" w:cs="楷体"/>
          <w:sz w:val="32"/>
          <w:szCs w:val="32"/>
          <w:lang w:val="en-US" w:eastAsia="zh-CN"/>
        </w:rPr>
        <w:t>30</w:t>
      </w:r>
      <w:r>
        <w:rPr>
          <w:rFonts w:hint="eastAsia" w:ascii="楷体" w:hAnsi="楷体" w:eastAsia="楷体" w:cs="楷体"/>
          <w:sz w:val="32"/>
          <w:szCs w:val="32"/>
        </w:rPr>
        <w:t>日吉林省第十</w:t>
      </w:r>
      <w:r>
        <w:rPr>
          <w:rFonts w:hint="eastAsia" w:ascii="楷体" w:hAnsi="楷体" w:eastAsia="楷体" w:cs="楷体"/>
          <w:sz w:val="32"/>
          <w:szCs w:val="32"/>
          <w:lang w:eastAsia="zh-CN"/>
        </w:rPr>
        <w:t>四</w:t>
      </w:r>
      <w:r>
        <w:rPr>
          <w:rFonts w:hint="eastAsia" w:ascii="楷体" w:hAnsi="楷体" w:eastAsia="楷体" w:cs="楷体"/>
          <w:sz w:val="32"/>
          <w:szCs w:val="32"/>
        </w:rPr>
        <w:t>届人民代表大会常务委员会第</w:t>
      </w:r>
      <w:r>
        <w:rPr>
          <w:rFonts w:hint="eastAsia" w:ascii="楷体" w:hAnsi="楷体" w:eastAsia="楷体" w:cs="楷体"/>
          <w:sz w:val="32"/>
          <w:szCs w:val="32"/>
          <w:lang w:eastAsia="zh-CN"/>
        </w:rPr>
        <w:t>十八</w:t>
      </w:r>
      <w:r>
        <w:rPr>
          <w:rFonts w:hint="eastAsia" w:ascii="楷体" w:hAnsi="楷体" w:eastAsia="楷体" w:cs="楷体"/>
          <w:sz w:val="32"/>
          <w:szCs w:val="32"/>
        </w:rPr>
        <w:t>次会议通过</w:t>
      </w:r>
      <w:r>
        <w:rPr>
          <w:rFonts w:hint="eastAsia" w:ascii="楷体" w:hAnsi="楷体" w:eastAsia="楷体" w:cs="楷体"/>
          <w:sz w:val="32"/>
          <w:szCs w:val="32"/>
          <w:lang w:eastAsia="zh-CN"/>
        </w:rPr>
        <w:t>）</w:t>
      </w:r>
      <w:r>
        <w:rPr>
          <w:rFonts w:hint="eastAsia" w:ascii="楷体" w:hAnsi="楷体" w:eastAsia="楷体" w:cs="楷体"/>
          <w:sz w:val="32"/>
          <w:szCs w:val="32"/>
        </w:rPr>
        <w:t xml:space="preserve"> </w:t>
      </w:r>
    </w:p>
    <w:p w14:paraId="212BDCFD">
      <w:pPr>
        <w:tabs>
          <w:tab w:val="left" w:pos="4402"/>
        </w:tabs>
        <w:spacing w:before="0" w:after="0" w:line="360" w:lineRule="auto"/>
        <w:ind w:left="0" w:right="0" w:firstLine="0"/>
        <w:jc w:val="center"/>
        <w:rPr>
          <w:rFonts w:hint="eastAsia" w:ascii="楷体" w:hAnsi="楷体" w:eastAsia="楷体" w:cs="楷体"/>
          <w:b w:val="0"/>
          <w:bCs/>
          <w:color w:val="000000" w:themeColor="text1"/>
          <w:spacing w:val="0"/>
          <w:position w:val="0"/>
          <w:sz w:val="32"/>
          <w:szCs w:val="32"/>
          <w:shd w:val="clear" w:fill="auto"/>
          <w:lang w:val="en-US" w:eastAsia="zh-CN"/>
          <w14:textFill>
            <w14:solidFill>
              <w14:schemeClr w14:val="tx1"/>
            </w14:solidFill>
          </w14:textFill>
        </w:rPr>
      </w:pPr>
      <w:r>
        <w:rPr>
          <w:rFonts w:hint="eastAsia" w:ascii="楷体" w:hAnsi="楷体" w:eastAsia="楷体" w:cs="楷体"/>
          <w:b w:val="0"/>
          <w:bCs/>
          <w:color w:val="000000" w:themeColor="text1"/>
          <w:spacing w:val="0"/>
          <w:position w:val="0"/>
          <w:sz w:val="32"/>
          <w:szCs w:val="32"/>
          <w:shd w:val="clear" w:fill="auto"/>
          <w:lang w:val="en-US" w:eastAsia="zh-CN"/>
          <w14:textFill>
            <w14:solidFill>
              <w14:schemeClr w14:val="tx1"/>
            </w14:solidFill>
          </w14:textFill>
        </w:rPr>
        <w:t>目  录</w:t>
      </w:r>
    </w:p>
    <w:p w14:paraId="7A8A656F">
      <w:pPr>
        <w:tabs>
          <w:tab w:val="left" w:pos="4402"/>
        </w:tabs>
        <w:spacing w:before="0" w:after="0" w:line="360" w:lineRule="auto"/>
        <w:ind w:right="0" w:firstLine="1920" w:firstLineChars="600"/>
        <w:jc w:val="both"/>
        <w:rPr>
          <w:rFonts w:hint="eastAsia" w:ascii="楷体" w:hAnsi="楷体" w:eastAsia="楷体" w:cs="楷体"/>
          <w:b w:val="0"/>
          <w:bCs/>
          <w:color w:val="000000" w:themeColor="text1"/>
          <w:spacing w:val="0"/>
          <w:position w:val="0"/>
          <w:sz w:val="32"/>
          <w:szCs w:val="32"/>
          <w:shd w:val="clear" w:fill="auto"/>
          <w:lang w:val="en-US" w:eastAsia="zh-CN"/>
          <w14:textFill>
            <w14:solidFill>
              <w14:schemeClr w14:val="tx1"/>
            </w14:solidFill>
          </w14:textFill>
        </w:rPr>
      </w:pPr>
      <w:r>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t>第一章  总  则</w:t>
      </w:r>
    </w:p>
    <w:p w14:paraId="28CDD927">
      <w:pPr>
        <w:spacing w:before="0" w:after="0" w:line="360" w:lineRule="auto"/>
        <w:ind w:right="0" w:firstLine="1920" w:firstLineChars="600"/>
        <w:jc w:val="left"/>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pPr>
      <w:r>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t xml:space="preserve">第二章 </w:t>
      </w:r>
      <w:r>
        <w:rPr>
          <w:rFonts w:hint="eastAsia" w:ascii="楷体" w:hAnsi="楷体" w:eastAsia="楷体" w:cs="楷体"/>
          <w:b w:val="0"/>
          <w:bCs/>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t>调查与认定</w:t>
      </w:r>
    </w:p>
    <w:p w14:paraId="630733FE">
      <w:pPr>
        <w:spacing w:before="0" w:after="0" w:line="360" w:lineRule="auto"/>
        <w:ind w:right="0" w:firstLine="1920" w:firstLineChars="600"/>
        <w:jc w:val="both"/>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pPr>
      <w:r>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t xml:space="preserve">第三章 </w:t>
      </w:r>
      <w:r>
        <w:rPr>
          <w:rFonts w:hint="eastAsia" w:ascii="楷体" w:hAnsi="楷体" w:eastAsia="楷体" w:cs="楷体"/>
          <w:b w:val="0"/>
          <w:bCs/>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t>养护与利用</w:t>
      </w:r>
    </w:p>
    <w:p w14:paraId="16032C2D">
      <w:pPr>
        <w:spacing w:before="0" w:after="0" w:line="360" w:lineRule="auto"/>
        <w:ind w:right="0" w:firstLine="1920" w:firstLineChars="600"/>
        <w:jc w:val="left"/>
        <w:rPr>
          <w:rFonts w:hint="eastAsia" w:ascii="楷体" w:hAnsi="楷体" w:eastAsia="楷体" w:cs="楷体"/>
          <w:b/>
          <w:color w:val="000000" w:themeColor="text1"/>
          <w:spacing w:val="0"/>
          <w:position w:val="0"/>
          <w:sz w:val="32"/>
          <w:szCs w:val="32"/>
          <w:shd w:val="clear" w:fill="auto"/>
          <w:lang w:eastAsia="zh-CN"/>
          <w14:textFill>
            <w14:solidFill>
              <w14:schemeClr w14:val="tx1"/>
            </w14:solidFill>
          </w14:textFill>
        </w:rPr>
      </w:pPr>
      <w:r>
        <w:rPr>
          <w:rFonts w:hint="eastAsia" w:ascii="楷体" w:hAnsi="楷体" w:eastAsia="楷体" w:cs="楷体"/>
          <w:color w:val="000000" w:themeColor="text1"/>
          <w:spacing w:val="0"/>
          <w:position w:val="0"/>
          <w:sz w:val="32"/>
          <w:szCs w:val="32"/>
          <w:shd w:val="clear" w:fill="auto"/>
          <w14:textFill>
            <w14:solidFill>
              <w14:schemeClr w14:val="tx1"/>
            </w14:solidFill>
          </w14:textFill>
        </w:rPr>
        <w:t>第四章  管理</w:t>
      </w:r>
      <w:r>
        <w:rPr>
          <w:rFonts w:hint="eastAsia" w:ascii="楷体" w:hAnsi="楷体" w:eastAsia="楷体" w:cs="楷体"/>
          <w:color w:val="000000" w:themeColor="text1"/>
          <w:spacing w:val="0"/>
          <w:position w:val="0"/>
          <w:sz w:val="32"/>
          <w:szCs w:val="32"/>
          <w:shd w:val="clear" w:fill="auto"/>
          <w:lang w:eastAsia="zh-CN"/>
          <w14:textFill>
            <w14:solidFill>
              <w14:schemeClr w14:val="tx1"/>
            </w14:solidFill>
          </w14:textFill>
        </w:rPr>
        <w:t>与监督</w:t>
      </w:r>
    </w:p>
    <w:p w14:paraId="6364E668">
      <w:pPr>
        <w:spacing w:before="0" w:after="0" w:line="360" w:lineRule="auto"/>
        <w:ind w:right="0" w:firstLine="1920" w:firstLineChars="600"/>
        <w:jc w:val="left"/>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pPr>
      <w:r>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t xml:space="preserve">第五章 </w:t>
      </w:r>
      <w:r>
        <w:rPr>
          <w:rFonts w:hint="eastAsia" w:ascii="楷体" w:hAnsi="楷体" w:eastAsia="楷体" w:cs="楷体"/>
          <w:b w:val="0"/>
          <w:bCs/>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t>法律责任</w:t>
      </w:r>
    </w:p>
    <w:p w14:paraId="6ACA5E7D">
      <w:pPr>
        <w:spacing w:before="0" w:after="0" w:line="360" w:lineRule="auto"/>
        <w:ind w:right="0" w:firstLine="1920" w:firstLineChars="600"/>
        <w:jc w:val="left"/>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pPr>
      <w:r>
        <w:rPr>
          <w:rFonts w:hint="eastAsia" w:ascii="楷体" w:hAnsi="楷体" w:eastAsia="楷体" w:cs="楷体"/>
          <w:b w:val="0"/>
          <w:bCs/>
          <w:color w:val="000000" w:themeColor="text1"/>
          <w:spacing w:val="0"/>
          <w:position w:val="0"/>
          <w:sz w:val="32"/>
          <w:szCs w:val="32"/>
          <w:shd w:val="clear" w:fill="auto"/>
          <w14:textFill>
            <w14:solidFill>
              <w14:schemeClr w14:val="tx1"/>
            </w14:solidFill>
          </w14:textFill>
        </w:rPr>
        <w:t>第六章  附  则</w:t>
      </w:r>
    </w:p>
    <w:p w14:paraId="611DEFE9">
      <w:pPr>
        <w:spacing w:before="0" w:after="0" w:line="360" w:lineRule="auto"/>
        <w:ind w:left="0" w:right="0" w:firstLine="0"/>
        <w:jc w:val="left"/>
        <w:rPr>
          <w:rFonts w:hint="eastAsia" w:ascii="仿宋_GB2312" w:hAnsi="仿宋_GB2312" w:eastAsia="仿宋_GB2312" w:cs="仿宋_GB2312"/>
          <w:b/>
          <w:color w:val="000000" w:themeColor="text1"/>
          <w:spacing w:val="0"/>
          <w:position w:val="0"/>
          <w:sz w:val="32"/>
          <w:szCs w:val="32"/>
          <w:shd w:val="clear" w:fill="auto"/>
          <w14:textFill>
            <w14:solidFill>
              <w14:schemeClr w14:val="tx1"/>
            </w14:solidFill>
          </w14:textFill>
        </w:rPr>
      </w:pPr>
    </w:p>
    <w:p w14:paraId="57531A71">
      <w:pPr>
        <w:spacing w:before="0" w:after="0" w:line="360" w:lineRule="auto"/>
        <w:ind w:left="0" w:right="0" w:firstLine="0"/>
        <w:jc w:val="cente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第一章  总  则</w:t>
      </w:r>
    </w:p>
    <w:p w14:paraId="182F3EB2">
      <w:pPr>
        <w:spacing w:before="0" w:after="0" w:line="360" w:lineRule="auto"/>
        <w:ind w:left="0" w:right="0" w:firstLine="640"/>
        <w:jc w:val="both"/>
        <w:rPr>
          <w:rFonts w:hint="eastAsia" w:ascii="黑体" w:hAnsi="黑体" w:eastAsia="黑体" w:cs="黑体"/>
          <w:color w:val="000000" w:themeColor="text1"/>
          <w:spacing w:val="0"/>
          <w:position w:val="0"/>
          <w:sz w:val="32"/>
          <w:szCs w:val="32"/>
          <w:shd w:val="clear" w:fill="auto"/>
          <w14:textFill>
            <w14:solidFill>
              <w14:schemeClr w14:val="tx1"/>
            </w14:solidFill>
          </w14:textFill>
        </w:rPr>
      </w:pPr>
    </w:p>
    <w:p w14:paraId="5C15344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第一条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为了加强对古树名木的保护，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推进</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生态文明建设，传承中华优秀传统文化，根据《中华人民共和国森林法》</w:t>
      </w:r>
      <w:r>
        <w:rPr>
          <w:rFonts w:hint="eastAsia" w:ascii="仿宋_GB2312" w:hAnsi="仿宋_GB2312" w:eastAsia="仿宋_GB2312" w:cs="仿宋_GB2312"/>
          <w:color w:val="000000" w:themeColor="text1"/>
          <w:spacing w:val="0"/>
          <w:position w:val="0"/>
          <w:sz w:val="32"/>
          <w:szCs w:val="32"/>
          <w:highlight w:val="none"/>
          <w:shd w:val="clear" w:color="auto"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《古树名木保护条例》等法律、行政法规，结合本省实际，制定本条例。</w:t>
      </w:r>
    </w:p>
    <w:p w14:paraId="781D3733">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第二条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本省行政区域内</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的</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古树名木保护活动，适用本条例。</w:t>
      </w:r>
    </w:p>
    <w:p w14:paraId="2089CEC4">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本条例所称古树，是指树龄在一百年以上的树木，不包括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人工培育、</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以生产木材为主要目的的商品林中的树木。古树群是指一定区域内集中生长的古树群体。</w:t>
      </w:r>
    </w:p>
    <w:p w14:paraId="43180C0F">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本条例所称名木，是指具有重要历史、文化、科学、景观价值或者具有重要纪念意义的树木。</w:t>
      </w:r>
    </w:p>
    <w:p w14:paraId="4A40FDCA">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第三条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古树名木保护管理工作坚持保护第一、合理利用、分级管理的原则，构建政府主导、属地负责、社会参与、原地保护、科学管护的工作机制。</w:t>
      </w:r>
    </w:p>
    <w:p w14:paraId="417D772F">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第四条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县级以上人民政府应当加强对本行政区域内古树名木保护管理工作的组织领导，及时协调解决古树名木保护工作中的重大问题，并将古树名木保护管理工作所需经费</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按照财政事权和支出责任划分原则</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列入本级财政预算。</w:t>
      </w:r>
    </w:p>
    <w:p w14:paraId="3B3D5828">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乡镇人民政府、街道办事处以及村民委员会、居民委员会应当协助做好古树名木保护管理相关工作。</w:t>
      </w:r>
    </w:p>
    <w:p w14:paraId="00351514">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highlight w:val="yellow"/>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第五条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县级以上人民政府林业主管部门、城市绿化主管部门（以下统称县级以上人民政府古树名木主管部门）</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是</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本行政区域内古树名木保护</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主管部门</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。城市外的古树名木保护管理工作由县级以上人民政府林业主管部门负责；城市内的古树名木保护管理工作由县级以上人民政府城市绿化主管部门负责。</w:t>
      </w:r>
    </w:p>
    <w:p w14:paraId="44BC077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县级以上人民政府住房和城乡建设</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城市管理、自然资源、生态环境、交通运输、农业农村、水利、公安、文化和旅游（文物）、民族宗教等有关部门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各自职责</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范围内</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，负责古树名木保护管理相关工作。</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ab/>
      </w:r>
    </w:p>
    <w:p w14:paraId="5CB1FEDA">
      <w:pPr>
        <w:spacing w:before="0" w:after="0" w:line="360" w:lineRule="auto"/>
        <w:ind w:left="0" w:right="0" w:firstLine="640"/>
        <w:jc w:val="both"/>
        <w:rPr>
          <w:rFonts w:hint="eastAsia" w:ascii="楷体" w:hAnsi="楷体" w:eastAsia="楷体" w:cs="楷体"/>
          <w:color w:val="000000" w:themeColor="text1"/>
          <w:spacing w:val="0"/>
          <w:position w:val="0"/>
          <w:sz w:val="32"/>
          <w:szCs w:val="32"/>
          <w:highlight w:val="yellow"/>
          <w:shd w:val="clear" w:fill="auto"/>
          <w:lang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第六条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国家重点林区经营管理单位、自然保护区管理机构，应当做好管理区域内古树名木保护相关工作，接受县级以上人民政府林业主管部门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指导和</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监督。</w:t>
      </w:r>
    </w:p>
    <w:p w14:paraId="3CECB687">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七</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县级以上人民政府及其有关部门应当采取多种形式，</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普及古树名木保护的法律法规和科学知识，</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加强对古树名木保护的宣传教育，依托报刊、广播、电视、网络等媒体，做好古树名木保护公益宣传，</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传承古树名木文化，</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增强全社会</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的</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古树名木保护意识，营造保护古树名木的良好社会氛围。</w:t>
      </w:r>
    </w:p>
    <w:p w14:paraId="1CF844E9">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八</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县级以上人民政府及其有关部门应当鼓励、支持古树名木保护的科学研究，推广</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先进适用的</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技术</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，提高古树名木保护管理水平。</w:t>
      </w:r>
    </w:p>
    <w:p w14:paraId="5BD4EE4D">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九</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鼓励通过认捐、认养等多种形式资助古树名木保护事业</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单位和个人认捐、认养保护古树名木的，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可以在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一定期限</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内</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标注、署名。</w:t>
      </w:r>
    </w:p>
    <w:p w14:paraId="768B08E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对在古树名木保护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管理</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工作中做出突出贡献的单位</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 xml:space="preserve">个人，按照国家和省有关规定给予表彰和奖励。 </w:t>
      </w:r>
    </w:p>
    <w:p w14:paraId="3594F78C">
      <w:pPr>
        <w:spacing w:before="0" w:after="0" w:line="360" w:lineRule="auto"/>
        <w:ind w:left="0" w:right="0" w:firstLine="640"/>
        <w:jc w:val="both"/>
        <w:rPr>
          <w:rFonts w:hint="default" w:ascii="仿宋_GB2312" w:hAnsi="仿宋_GB2312" w:eastAsia="仿宋_GB2312" w:cs="仿宋_GB2312"/>
          <w:color w:val="000000" w:themeColor="text1"/>
          <w:spacing w:val="0"/>
          <w:position w:val="0"/>
          <w:sz w:val="32"/>
          <w:szCs w:val="32"/>
          <w:shd w:val="clear" w:fill="auto"/>
          <w:lang w:val="en-US" w:eastAsia="zh-CN"/>
          <w14:textFill>
            <w14:solidFill>
              <w14:schemeClr w14:val="tx1"/>
            </w14:solidFill>
          </w14:textFill>
        </w:rPr>
      </w:pPr>
    </w:p>
    <w:p w14:paraId="73FC5C08">
      <w:pPr>
        <w:spacing w:before="0" w:after="0" w:line="360" w:lineRule="auto"/>
        <w:ind w:left="0" w:right="0" w:firstLine="0"/>
        <w:jc w:val="cente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第二章 调查与认定</w:t>
      </w:r>
    </w:p>
    <w:p w14:paraId="37364C0F">
      <w:pPr>
        <w:spacing w:before="0" w:after="0" w:line="360" w:lineRule="auto"/>
        <w:ind w:left="0" w:right="0" w:firstLine="640"/>
        <w:jc w:val="both"/>
        <w:rPr>
          <w:rFonts w:hint="eastAsia" w:ascii="黑体" w:hAnsi="黑体" w:eastAsia="黑体" w:cs="黑体"/>
          <w:color w:val="000000" w:themeColor="text1"/>
          <w:spacing w:val="0"/>
          <w:position w:val="0"/>
          <w:sz w:val="32"/>
          <w:szCs w:val="32"/>
          <w:shd w:val="clear" w:fill="auto"/>
          <w14:textFill>
            <w14:solidFill>
              <w14:schemeClr w14:val="tx1"/>
            </w14:solidFill>
          </w14:textFill>
        </w:rPr>
      </w:pPr>
    </w:p>
    <w:p w14:paraId="03F60C1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第十</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一</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对古树按照下列标准实行分级保护：</w:t>
      </w:r>
    </w:p>
    <w:p w14:paraId="7B33D20A">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（一）树龄五百年以上的，实行一级保护；</w:t>
      </w:r>
    </w:p>
    <w:p w14:paraId="6675395A">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（二）树龄三百年以上不满五百年的，实行二级保护；</w:t>
      </w:r>
    </w:p>
    <w:p w14:paraId="323278D7">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（三）树龄一百年以上不满三百年的，实行三级保护。</w:t>
      </w:r>
    </w:p>
    <w:p w14:paraId="1F2736CA">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省人民政府根据实际情况，可以决定对城市内树龄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年以上不满</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年的古树实行一级保护、树龄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年以上不满</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年的古树实行二级保护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p>
    <w:p w14:paraId="0782751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对名木均实行一级保护，不受树龄限制。</w:t>
      </w:r>
    </w:p>
    <w:p w14:paraId="7417AA0D">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十二</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省人民政府古树名木主管部门根据全国绿化委员会的要求以及普查技术规范，每十年组织实施一次古树名木资源普查。普查间隔期内，县级以上人民政府古树名木主管部门适时开展古树名木资源补充调查。</w:t>
      </w:r>
    </w:p>
    <w:p w14:paraId="1F7E88A0">
      <w:pPr>
        <w:spacing w:before="0" w:after="0" w:line="360" w:lineRule="auto"/>
        <w:ind w:left="0" w:right="0" w:firstLine="640"/>
        <w:jc w:val="both"/>
        <w:rPr>
          <w:rFonts w:hint="eastAsia" w:ascii="黑体" w:hAnsi="黑体" w:eastAsia="黑体" w:cs="黑体"/>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鼓励单位、个人提供古树名木资源信息。</w:t>
      </w:r>
    </w:p>
    <w:p w14:paraId="1CA44705">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十三</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国家重点林区经营管理单位、自然保护区管理机构应当做好管理区域内古树名木的资源普查、补充调查工作，将普查、调查结果按照古树名木保护等级报</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本条例第十五条规定</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的人民政府古树名木主管部门。</w:t>
      </w:r>
    </w:p>
    <w:p w14:paraId="73D25656">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highlight w:val="yellow"/>
          <w:shd w:val="clear" w:fill="auto"/>
          <w:lang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十四</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在古树名木资源普查、补充调查和认定等工作中，对</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树种、</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树龄、生长势以及重要价值、重要纪念意义</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等</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存在异议的，由县级以上人民政府古树名木主管部门组织相关专业人员或者机构，按照有关</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技术</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规范进行鉴定。</w:t>
      </w:r>
    </w:p>
    <w:p w14:paraId="4DA7D5C4">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十五</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县级以上人民政府古树名木主管部门根据古树名木资源普查、补充调查结果认定古树名木，报本级人民政府批准后依法公布。</w:t>
      </w:r>
    </w:p>
    <w:p w14:paraId="626F1BE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实行一级保护的古树和名木由省人民政府古树名木主管部门认定，实行二级保护、三级保护的古树分别由</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设区的市、自治州</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（市、区）</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人民政府古树名木主管部门认定。</w:t>
      </w:r>
    </w:p>
    <w:p w14:paraId="3DF69D23">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实行整体保护，</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按照</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群体内</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古树名木的最高保护等级，由相应的人民政府古树名木主管部门认定，报本级人民政府批准后依法公布。</w:t>
      </w:r>
    </w:p>
    <w:p w14:paraId="3AC21624">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古树名木的认定和公布实行动态管理。</w:t>
      </w:r>
    </w:p>
    <w:p w14:paraId="598252EC">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十六</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县级以上人民政府古树名木主管部门应当建立古树名木档案，并将古树名木的树种、树龄、位置、保护等级、生长环境、生长状况</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、权属情况、</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保护现状等数据信息归集至国家古树名木保护管理信息平台。</w:t>
      </w:r>
    </w:p>
    <w:p w14:paraId="362DD4A7">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十七</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县级以上人民政府古树名木主管部门可以结合古树名木资源普查、补充调查情况，确定树龄在八十年以上不满一百年的树木作为古树后备资源</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，予以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 xml:space="preserve">保护管理。 </w:t>
      </w:r>
    </w:p>
    <w:p w14:paraId="5069413D">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古树后备资源实行动态管理。</w:t>
      </w:r>
    </w:p>
    <w:p w14:paraId="54E27216">
      <w:pPr>
        <w:spacing w:before="0" w:after="0" w:line="360" w:lineRule="auto"/>
        <w:ind w:left="0" w:right="0" w:firstLine="0"/>
        <w:jc w:val="cente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第三章 养护与利用</w:t>
      </w:r>
    </w:p>
    <w:p w14:paraId="71B81DF5">
      <w:pPr>
        <w:spacing w:before="0" w:after="0" w:line="360" w:lineRule="auto"/>
        <w:ind w:left="0" w:right="0" w:firstLine="640"/>
        <w:jc w:val="both"/>
        <w:rPr>
          <w:rFonts w:hint="eastAsia" w:ascii="黑体" w:hAnsi="黑体" w:eastAsia="黑体" w:cs="黑体"/>
          <w:color w:val="000000" w:themeColor="text1"/>
          <w:spacing w:val="0"/>
          <w:position w:val="0"/>
          <w:sz w:val="32"/>
          <w:szCs w:val="32"/>
          <w:shd w:val="clear" w:fill="auto"/>
          <w14:textFill>
            <w14:solidFill>
              <w14:schemeClr w14:val="tx1"/>
            </w14:solidFill>
          </w14:textFill>
        </w:rPr>
      </w:pPr>
    </w:p>
    <w:p w14:paraId="172C3A16">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十八</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县级人民政府古树名木主管部门应当按照以下规定确定古树名木的日常养护责任人：</w:t>
      </w:r>
    </w:p>
    <w:p w14:paraId="3CD65DC0">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（一）机关、团体、企</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业</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事业单位用地范围内的古树名木，由其所在单位负责养护；</w:t>
      </w:r>
    </w:p>
    <w:p w14:paraId="1DA5BE76">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（二）机场、铁路、公路</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江河堤坝和水库湖渠用地范围内的古树名木，由其管理单位负责养护；</w:t>
      </w:r>
    </w:p>
    <w:p w14:paraId="6A99B283">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（三）文物保护单位、宗教活动场所用地范围内的古树名木，由其管理单位负责养护；</w:t>
      </w:r>
    </w:p>
    <w:p w14:paraId="748A66D2">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（四）国家重点林区、自然保护区用地范围内的古树名木，由其管理单位或者管理机构负责养护；</w:t>
      </w:r>
    </w:p>
    <w:p w14:paraId="10C9A89B">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（五）城市道路、街巷、公园、广场以及其他公共设施用地范围内的古树名木，由其管理单位负责养护；城市居民庭院、住宅小区用地范围内的古树名木，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实行物业管理的，由物业服务人负责养护，未实行物业管理的，由街道办事处、乡镇人民政府负责养护</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21DB20FE">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（六）乡镇公共</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设施</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用地范围内的古树名木，由乡镇人民政府负责养护；农村承包</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的</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林</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地上的古树名木，由承包方负责养护；农村宅基地上的古树名木，由宅基地使用权人负责养护；农村其他土地上的古树名木，由村民委员会或者村民小组负责养护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p>
    <w:p w14:paraId="6D34A846">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（七）个人所有的古树名木，由个人负责养护。</w:t>
      </w:r>
    </w:p>
    <w:p w14:paraId="166D1C45">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对</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前款规定以外的古树名木，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县级人民政府古树名木主管部门应当按照有利于加强古树名木日常养护的原则，确定日常养护责任人。</w:t>
      </w:r>
    </w:p>
    <w:p w14:paraId="39192E86">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十九</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县级人民政府古树名木主管部门应当与日常养护责任人签订日常养护协议，根据古树名木权属情况、保护等级、养护状况、养护费用等，明确双方权利义务。</w:t>
      </w:r>
    </w:p>
    <w:p w14:paraId="64132062">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可以根据具体情况，对日常养护责任人</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给予适当补助。</w:t>
      </w:r>
    </w:p>
    <w:p w14:paraId="5830FF14">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日常养护责任人发生变化的，应当及时报告县级人民政府古树名木主管部门，并重新签订养护协议。</w:t>
      </w:r>
    </w:p>
    <w:p w14:paraId="2E4793CF">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县级人民政府古树名木主管部门应当加强对日常养护责任人的技术培训，提高日常养护责任人的科学养护能力</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督促指导日常养护责任人实施相关养护措施。</w:t>
      </w:r>
    </w:p>
    <w:p w14:paraId="5FE3DBF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二十一</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日常养护责任人应当严格履行养护</w:t>
      </w:r>
      <w:r>
        <w:rPr>
          <w:rFonts w:hint="eastAsia" w:ascii="仿宋_GB2312" w:hAnsi="仿宋_GB2312" w:eastAsia="仿宋_GB2312" w:cs="仿宋_GB2312"/>
          <w:color w:val="000000" w:themeColor="text1"/>
          <w:spacing w:val="0"/>
          <w:position w:val="0"/>
          <w:sz w:val="32"/>
          <w:szCs w:val="32"/>
          <w:highlight w:val="none"/>
          <w:shd w:val="clear" w:fill="auto"/>
          <w:lang w:eastAsia="zh-CN"/>
          <w14:textFill>
            <w14:solidFill>
              <w14:schemeClr w14:val="tx1"/>
            </w14:solidFill>
          </w14:textFill>
        </w:rPr>
        <w:t>责任</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，按照古树名木养护技术规范和要求，实施日常养护措施，看护、观察古树名木长势情况，对损害古树名木及其生长环境的行为予以制止。</w:t>
      </w:r>
    </w:p>
    <w:p w14:paraId="3190126D">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二十二</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古树名木遭受损害或者出现生长异常等情形的，日常养护责任人应当及时报告所在地县级人民政府古树名木主管部门，县级人民政府古树名木主管部门接到报告后，应当及时组织现场调查，并根据实际情况采取</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修剪枝叶、</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有害生物防治、树洞处理、土壤改良等救治、复壮措施。</w:t>
      </w:r>
    </w:p>
    <w:p w14:paraId="3416646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县级人民政府古树名木主管部门可以通过购买服务的方式，聘请古树名木专业养护单位等为古树名木养护提供专业化服务。</w:t>
      </w:r>
    </w:p>
    <w:p w14:paraId="7142CC85">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二十三</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支持保险机构开展古树名木保险业务，鼓励县级以上人民政府为古树名木保险提供保费补贴。</w:t>
      </w:r>
    </w:p>
    <w:p w14:paraId="1EB13F7B">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二十四</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在不损害古树名木及其生长环境的前提下，可以合理利用古树名木资源开展</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保护技术、</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遗传育种、生物学等科学研究</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，推广应用科研成果</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7C06D958">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省人民政府林业主管部门可以根据保护濒危、稀有、珍贵古树名木的需要，将古树名木种质资源纳入省级林木种质资源设施保存库。</w:t>
      </w:r>
    </w:p>
    <w:p w14:paraId="3DB9DEB9">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二十五</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县级以上人民政府可以依托古树名木资源，因地制宜建设古树名木公园。</w:t>
      </w:r>
    </w:p>
    <w:p w14:paraId="3A57604A">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鼓励结合古村落、古民居、古建筑等历史文化遗产</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保护</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以及传统节庆、</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民族风俗</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按照有关规定</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开展</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古树名木的</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科普、宣教、研学</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、文艺创作</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等活动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p>
    <w:p w14:paraId="1B1A2EF8">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支持搜集、整理古树名木历史人文故事，</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提供多样化、多层次的古树名木文化创意产品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，充分挖掘</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阐释</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古树名木的历史和文化价值。</w:t>
      </w:r>
    </w:p>
    <w:p w14:paraId="2A6448C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二十六</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鼓励合理利用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古树名木的景观价值和观赏特性，</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结合长白山、松花江等自然景观以及乡村旅游、红色旅游资源，提供</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特色旅游</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线路</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和产品，促进古树名木资源与生态旅游融合发展。</w:t>
      </w:r>
    </w:p>
    <w:p w14:paraId="0665D6BD">
      <w:pPr>
        <w:spacing w:before="0" w:after="0" w:line="360" w:lineRule="auto"/>
        <w:ind w:left="0" w:right="0" w:firstLine="0"/>
        <w:jc w:val="center"/>
        <w:rPr>
          <w:rFonts w:hint="eastAsia" w:ascii="黑体" w:hAnsi="黑体" w:eastAsia="黑体" w:cs="黑体"/>
          <w:color w:val="000000" w:themeColor="text1"/>
          <w:spacing w:val="0"/>
          <w:position w:val="0"/>
          <w:sz w:val="32"/>
          <w:szCs w:val="32"/>
          <w:shd w:val="clear" w:fill="auto"/>
          <w14:textFill>
            <w14:solidFill>
              <w14:schemeClr w14:val="tx1"/>
            </w14:solidFill>
          </w14:textFill>
        </w:rPr>
      </w:pPr>
    </w:p>
    <w:p w14:paraId="6F1FC60A">
      <w:pPr>
        <w:spacing w:before="0" w:after="0" w:line="360" w:lineRule="auto"/>
        <w:ind w:left="0" w:right="0" w:firstLine="0"/>
        <w:jc w:val="center"/>
        <w:rPr>
          <w:rFonts w:hint="eastAsia" w:ascii="黑体" w:hAnsi="黑体" w:eastAsia="黑体" w:cs="黑体"/>
          <w:b/>
          <w:color w:val="000000" w:themeColor="text1"/>
          <w:spacing w:val="0"/>
          <w:position w:val="0"/>
          <w:sz w:val="32"/>
          <w:szCs w:val="32"/>
          <w:shd w:val="clear" w:fill="auto"/>
          <w:lang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第四章  管理</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与监督</w:t>
      </w:r>
    </w:p>
    <w:p w14:paraId="04AE2ECA">
      <w:pPr>
        <w:spacing w:before="0" w:after="0" w:line="360" w:lineRule="auto"/>
        <w:ind w:left="0" w:right="0" w:firstLine="640"/>
        <w:jc w:val="both"/>
        <w:rPr>
          <w:rFonts w:hint="eastAsia" w:ascii="黑体" w:hAnsi="黑体" w:eastAsia="黑体" w:cs="黑体"/>
          <w:color w:val="000000" w:themeColor="text1"/>
          <w:spacing w:val="0"/>
          <w:position w:val="0"/>
          <w:sz w:val="32"/>
          <w:szCs w:val="32"/>
          <w:shd w:val="clear" w:fill="auto"/>
          <w14:textFill>
            <w14:solidFill>
              <w14:schemeClr w14:val="tx1"/>
            </w14:solidFill>
          </w14:textFill>
        </w:rPr>
      </w:pPr>
    </w:p>
    <w:p w14:paraId="7B59AD5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二十七</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古树名木应当划定保护范围。古树名木的保护范围由所在地县级人民政府古树名木主管部门按照国务院古树名木主管部门的规定划定，并依法公布。</w:t>
      </w:r>
    </w:p>
    <w:p w14:paraId="5A91EA92">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保护范围划定后应当及时纳入国土空间规划实施监督信息系统。</w:t>
      </w:r>
    </w:p>
    <w:p w14:paraId="0B788E58">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古树名木保护范围内已有的建筑物、构筑物、管线等，不符合古树名木保护要求的，县级人民政府应当有计划地组织治理。</w:t>
      </w:r>
    </w:p>
    <w:p w14:paraId="37C4C2B8">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二十八</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县级以上人民政府古树名木主管部门应当对古树名木设置保护标志。</w:t>
      </w:r>
    </w:p>
    <w:p w14:paraId="75689DF5">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保护标志应当</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标注古树名木的</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中文名、</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汉语拼音、</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拉丁学名、科属、树龄、保护等级、</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权属情况、</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编号、认定单位、挂牌单位、挂牌时间</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、联系电话</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等内容</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，印制专属二维码，便于了解古树名木的基本信息、科普知识、历史人文故事等内容。</w:t>
      </w:r>
    </w:p>
    <w:p w14:paraId="0BB86F04">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保护标志样式和内容，由省人民政府古树名木主管部门按照有关规范和要求统一规定。</w:t>
      </w:r>
    </w:p>
    <w:p w14:paraId="4AA08B04">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二十九</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县级以上人民政府古树名木主管部门应当根据古树名木保护等级和保护需要，建设围栏、支撑、排水、避雷等必要的保护设施，采取防火、防病虫害、防腐等保护措施。</w:t>
      </w:r>
    </w:p>
    <w:p w14:paraId="6173BF56">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古树名木保护与文物保护相关时，由县级以上人民政府古树名木主管部门和文物主管部门共同制定保护措施。</w:t>
      </w:r>
    </w:p>
    <w:p w14:paraId="496953E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任何单位、个人不得实施下列损害古树名木及其生长环境的行为：</w:t>
      </w:r>
    </w:p>
    <w:p w14:paraId="4A4A0025">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（一）买卖、运输、加工非法采伐、移植的古树名木；</w:t>
      </w:r>
    </w:p>
    <w:p w14:paraId="7738832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（二）挖根、剥损树皮、过度修剪枝干；</w:t>
      </w:r>
    </w:p>
    <w:p w14:paraId="1881E6EE">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（三）向古树名木灌注有毒有害物质；</w:t>
      </w:r>
    </w:p>
    <w:p w14:paraId="3977798C">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（四）在古树名木保护范围内铺设非通透性硬化地面、使用明火、堆放重物、倾倒易燃易爆物品或者有毒有害物质；</w:t>
      </w:r>
    </w:p>
    <w:p w14:paraId="4EB2C7E9">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（五）在古树名木上刻划、架设线缆、缠绕或者悬挂物体等，攀爬古树名木；</w:t>
      </w:r>
    </w:p>
    <w:p w14:paraId="1AED0E9F">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（六）破坏古树名木保护设施、保护标志；</w:t>
      </w:r>
    </w:p>
    <w:p w14:paraId="61426010">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（七）其他损害古树名木及其生长环境的行为。</w:t>
      </w:r>
    </w:p>
    <w:p w14:paraId="7685A3E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三十一</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在古树名木保护范围内，严格控制使用影响古树名木生长的融雪剂、生长调节剂等化学产品，避免对古树名木造成损害。</w:t>
      </w:r>
    </w:p>
    <w:p w14:paraId="16B48874">
      <w:pPr>
        <w:spacing w:before="0" w:after="0" w:line="360" w:lineRule="auto"/>
        <w:ind w:left="0" w:right="0" w:firstLine="640"/>
        <w:jc w:val="both"/>
        <w:rPr>
          <w:rFonts w:hint="eastAsia" w:ascii="仿宋_GB2312" w:hAnsi="仿宋_GB2312" w:eastAsia="仿宋_GB2312" w:cs="仿宋_GB2312"/>
          <w:color w:val="0000FF"/>
          <w:spacing w:val="0"/>
          <w:position w:val="0"/>
          <w:sz w:val="32"/>
          <w:szCs w:val="32"/>
          <w:highlight w:val="none"/>
          <w:shd w:val="clear" w:fill="auto"/>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三十二</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县级人民政府古树名木主管部门以及有关部门应当根据古树名木保护需要，采取相应措施，规范古树名木保护范围内的祈福、祭拜等行为</w:t>
      </w:r>
      <w:r>
        <w:rPr>
          <w:rFonts w:hint="eastAsia" w:ascii="仿宋_GB2312" w:hAnsi="仿宋_GB2312" w:eastAsia="仿宋_GB2312" w:cs="仿宋_GB2312"/>
          <w:color w:val="000000" w:themeColor="text1"/>
          <w:spacing w:val="0"/>
          <w:position w:val="0"/>
          <w:sz w:val="32"/>
          <w:szCs w:val="32"/>
          <w:highlight w:val="none"/>
          <w:shd w:val="clear" w:fill="auto"/>
          <w14:textFill>
            <w14:solidFill>
              <w14:schemeClr w14:val="tx1"/>
            </w14:solidFill>
          </w14:textFill>
        </w:rPr>
        <w:t>，</w:t>
      </w:r>
      <w:r>
        <w:rPr>
          <w:rFonts w:hint="eastAsia" w:ascii="仿宋_GB2312" w:hAnsi="仿宋_GB2312" w:eastAsia="仿宋_GB2312" w:cs="仿宋_GB2312"/>
          <w:color w:val="auto"/>
          <w:spacing w:val="0"/>
          <w:position w:val="0"/>
          <w:sz w:val="32"/>
          <w:szCs w:val="32"/>
          <w:highlight w:val="none"/>
          <w:shd w:val="clear" w:fill="auto"/>
        </w:rPr>
        <w:t>消除影响古树名木的安全隐患</w:t>
      </w:r>
      <w:r>
        <w:rPr>
          <w:rFonts w:hint="eastAsia" w:ascii="仿宋_GB2312" w:hAnsi="仿宋_GB2312" w:eastAsia="仿宋_GB2312" w:cs="仿宋_GB2312"/>
          <w:color w:val="0000FF"/>
          <w:spacing w:val="0"/>
          <w:position w:val="0"/>
          <w:sz w:val="32"/>
          <w:szCs w:val="32"/>
          <w:highlight w:val="none"/>
          <w:shd w:val="clear" w:fill="auto"/>
        </w:rPr>
        <w:t>。</w:t>
      </w:r>
    </w:p>
    <w:p w14:paraId="4AEDA02C">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三十三</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禁止采伐古树名木。</w:t>
      </w:r>
    </w:p>
    <w:p w14:paraId="034E74E0">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因重大植物疫情防控、抢险救灾等特殊紧急情形，依法采取应急处置措施采伐古树名木的，县级人民政府有关部门应当及时通知县级人民政府古树名木主管部门。县级人民政府古树名木主管部门应当在应急处置工作结束后三十日内将有关情况逐级报告至省人民政府古树名木主管部门。涉及实行一级保护的古树和名木的，由省人民政府古树名木主管部门报告至国务院古树名木主管部门。</w:t>
      </w:r>
    </w:p>
    <w:p w14:paraId="199AA5A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三十四</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古树名木原则上实行原地保护，不得移植。符合法律</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、行政</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法规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规定</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情形确需移植古树名木的，建设单位应当提出移植申请并提交相应的移植和养护方案，按照涉及古树名木的最高保护等级，经认定该古树名木的县级以上人民政府古树名木主管部门审核并报本级人民政府批准</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移植费用和移植后五年内的养护费用由建设单位承担。</w:t>
      </w:r>
    </w:p>
    <w:p w14:paraId="23855F7B">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古树名木的生长状况可能危害公众生命安全，采取修剪、支撑等防护措施仍无法消除安全隐患的，由县级人民政府古树名木主管部门提出相应的移植和养护方案，按照管理权限报有关人民政府批准</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移植费用和移植后五年内的养护费用由有关县级人民政府承担。</w:t>
      </w:r>
    </w:p>
    <w:p w14:paraId="21C5553E">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主管部门</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应当</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组织专家对移植的必要性和移植方案的可行性进行论证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5DD853DF">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移植古树名木应当</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就近实施</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p>
    <w:p w14:paraId="67053C6A">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三十五</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建设项目选址、建设，应当避开古树名木保护范围；因特殊情况不能避开，确需在古树名木保护范围内新建、扩建建筑物、构筑物或者铺设管线的，应当在施工前报告县级以上人民政府古树名木主管部门，并按照要求采取必要的工程措施，尽可能减轻对古树名木及其生长环境的损害。</w:t>
      </w:r>
    </w:p>
    <w:p w14:paraId="0F03B0E6">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三十六</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古树名木死亡的，由认定该古树名木的县级以上人民政府古树名木主管部门组织确认、查明原因并提出处置意见报本级人民政府；具有原地保留价值的，予以保留，并根据实际情况采取必要的保护措施。</w:t>
      </w:r>
    </w:p>
    <w:p w14:paraId="7881B150">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任何单位和个人不得擅自处理未经县级以上人民政府古树名木主管部门确认死亡的古树名木。</w:t>
      </w:r>
    </w:p>
    <w:p w14:paraId="15DFD320">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三十七</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县级以上人民政府古树名木主管部门应当建立古树名木分级保护巡查制度，</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按照有关规范和要求</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定期开展巡查</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，监测古树名木健康状况和保护情况</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w:t>
      </w:r>
    </w:p>
    <w:p w14:paraId="6E1886F5">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对位于偏远地区和交通不便地区的古树名木，县级以上人民政府古树名木主管部门可以利用大数据、卫星遥感、无人机等技术手段开展动态监控。</w:t>
      </w:r>
    </w:p>
    <w:p w14:paraId="76CA6E78">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三十八</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县级以上人民政府古树名木主管部门依照本条例规定，按照职责分工对古树名木保护管理等活动进行监督检查，有权采取下列措施：</w:t>
      </w:r>
    </w:p>
    <w:p w14:paraId="2EA5065C">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（一）询问被检查单位、个人，要求其对与监督检查事项有关的情况作出说明；</w:t>
      </w:r>
    </w:p>
    <w:p w14:paraId="50A28C9B">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（二）进行现场检查；</w:t>
      </w:r>
    </w:p>
    <w:p w14:paraId="30571A45">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（三）查阅、复制有关文件、资料，对可能被转移、销毁、隐匿或者篡改的文件、资料予以封存；</w:t>
      </w:r>
    </w:p>
    <w:p w14:paraId="3F1B3704">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（四）查封、扣押涉嫌违法活动的场所、设施或者财物。</w:t>
      </w:r>
    </w:p>
    <w:p w14:paraId="5347042D">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县级以上人民政府古树名木主管部门依法进行监督检查，有关单位、个人应当予以配合，不得拒绝、阻碍。</w:t>
      </w:r>
    </w:p>
    <w:p w14:paraId="0EBA44CA">
      <w:pPr>
        <w:spacing w:before="0" w:after="0" w:line="360" w:lineRule="auto"/>
        <w:ind w:left="0" w:right="0" w:firstLine="640"/>
        <w:jc w:val="both"/>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第三十九条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lang w:val="en-US" w:eastAsia="zh-CN"/>
          <w14:textFill>
            <w14:solidFill>
              <w14:schemeClr w14:val="tx1"/>
            </w14:solidFill>
          </w14:textFill>
        </w:rPr>
        <w:t>单位和个人有权举报、制止损害古树名木及其生长环境的行为。</w:t>
      </w:r>
    </w:p>
    <w:p w14:paraId="7B45E375">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县级以上人民政府古树名木主管部门应当建立举报制度，公开举报方式，及时受理单位、个人及其他组织对损害古树名木行为的检举，并依法查处。</w:t>
      </w:r>
    </w:p>
    <w:p w14:paraId="17BDF742">
      <w:pPr>
        <w:spacing w:before="0" w:after="0" w:line="360" w:lineRule="auto"/>
        <w:ind w:left="0" w:right="0" w:firstLine="640"/>
        <w:jc w:val="both"/>
        <w:rPr>
          <w:rFonts w:hint="default" w:ascii="楷体" w:hAnsi="楷体" w:eastAsia="楷体" w:cs="楷体"/>
          <w:b w:val="0"/>
          <w:bCs/>
          <w:color w:val="000000" w:themeColor="text1"/>
          <w:spacing w:val="0"/>
          <w:position w:val="0"/>
          <w:sz w:val="32"/>
          <w:szCs w:val="32"/>
          <w:shd w:val="clear" w:fill="auto"/>
          <w:lang w:val="en-US" w:eastAsia="zh-CN"/>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对古树名木保护不力、问题突出的，省人民政府古树名木主管部门可以约谈有关人民政府及其有关部门、有关管理单位主要负责人，要求其采取措施及时整改，约谈整改情况应当向社会公开。</w:t>
      </w:r>
    </w:p>
    <w:p w14:paraId="5FFFF811">
      <w:pPr>
        <w:spacing w:before="0" w:after="0" w:line="360" w:lineRule="auto"/>
        <w:ind w:left="0" w:right="0" w:firstLine="0"/>
        <w:jc w:val="cente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p>
    <w:p w14:paraId="075C08D3">
      <w:pPr>
        <w:spacing w:before="0" w:after="0" w:line="360" w:lineRule="auto"/>
        <w:ind w:left="0" w:right="0" w:firstLine="0"/>
        <w:jc w:val="cente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 xml:space="preserve">第五章 法律责任 </w:t>
      </w:r>
    </w:p>
    <w:p w14:paraId="6E72873E">
      <w:pPr>
        <w:spacing w:before="0" w:after="0" w:line="360" w:lineRule="auto"/>
        <w:ind w:left="0" w:right="0" w:firstLine="640"/>
        <w:jc w:val="both"/>
        <w:rPr>
          <w:rFonts w:hint="eastAsia" w:ascii="黑体" w:hAnsi="黑体" w:eastAsia="黑体" w:cs="黑体"/>
          <w:color w:val="000000" w:themeColor="text1"/>
          <w:spacing w:val="0"/>
          <w:position w:val="0"/>
          <w:sz w:val="32"/>
          <w:szCs w:val="32"/>
          <w:shd w:val="clear" w:fill="auto"/>
          <w14:textFill>
            <w14:solidFill>
              <w14:schemeClr w14:val="tx1"/>
            </w14:solidFill>
          </w14:textFill>
        </w:rPr>
      </w:pPr>
    </w:p>
    <w:p w14:paraId="00725AD8">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四十一</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县级以上人民政府及其古树名木主管部门、其他有关部门的工作人员在古树名木保护管理工作中滥用职权、玩忽职守、徇私舞弊的，依法给予处分。</w:t>
      </w:r>
    </w:p>
    <w:p w14:paraId="381CF4AB">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四十二</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有</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条第一项、第二项、第三项、第四项规定行为之一的，由县级以上人民政府古树名木主管部门责令停止违法行为、采取补救措施，没收违法所得，并处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万元以下的罚款；拒不停止违法行为、不采取补救措施或者造成严重后果的，并处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7CF5875D">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有本条例第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条第五项、第六项、第七项规定行为之一的，由县级以上人民政府古树名木主管部门责令停止违法行为、采取补救措施，没收违法所得，可以并处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万元以下的罚款；拒不停止违法行为、不采取补救措施或者造成严重后果的，并处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0B1DB4D6">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四十三</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违反本条例第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三十一</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三十二</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条规定，在古树名木保护范围内使用化学产品、</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开展</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祈福祭拜</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对古树名木造成损害的，由县级以上人民政府古树名木主管部门责令</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改正</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、采取补救措施。</w:t>
      </w:r>
    </w:p>
    <w:p w14:paraId="4462460D">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四十四</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违反本条例第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三十三</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三十四</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条规定，采伐、移植古树名木的，由县级以上人民政府古树名木主管部门责令停止违法行为、采取补救措施，没收违法所得，并依照下列规定处以罚款：</w:t>
      </w:r>
    </w:p>
    <w:p w14:paraId="7F4B2F51">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（一）涉及实行一级保护的古树和名木的，处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一百</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32E85F76">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（二）涉及实行二级保护的古树的，处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09CEC224">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（三）涉及实行三级保护的古树的，处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3061FA8E">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违反本条例规定，损害古树名木及其生长环境，造成古树名木死亡的，依照前款规定处罚。</w:t>
      </w:r>
    </w:p>
    <w:p w14:paraId="51D9CDBE">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四十五</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违反本条例第</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三十五</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条规定的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由县级以上人民政府古树名木主管部门责令停止违法行为、限期恢复原状或者采取其他补救措施，没收违法所得；拒不停止违法行为、逾期不恢复原状、不采取其他补救措施或者造成严重后果的，依照下列规定处以罚款：</w:t>
      </w:r>
    </w:p>
    <w:p w14:paraId="541C17DE">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（一）涉及实行一级保护的古树和名木的，处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1803273A">
      <w:pPr>
        <w:spacing w:before="0" w:after="0" w:line="360" w:lineRule="auto"/>
        <w:ind w:left="0" w:right="0" w:firstLine="640"/>
        <w:jc w:val="both"/>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（二）涉及实行二级保护的古树的，处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二十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6666F5EC">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640"/>
        <w:jc w:val="both"/>
        <w:textAlignment w:val="auto"/>
        <w:rPr>
          <w:rFonts w:hint="eastAsia" w:ascii="仿宋_GB2312" w:hAnsi="仿宋_GB2312" w:eastAsia="仿宋_GB2312" w:cs="仿宋_GB2312"/>
          <w:b w:val="0"/>
          <w:bCs/>
          <w:color w:val="000000" w:themeColor="text1"/>
          <w:spacing w:val="0"/>
          <w:position w:val="0"/>
          <w:sz w:val="32"/>
          <w:szCs w:val="32"/>
          <w:shd w:val="clear" w:fill="auto"/>
          <w14:textFill>
            <w14:solidFill>
              <w14:schemeClr w14:val="tx1"/>
            </w14:solidFill>
          </w14:textFill>
        </w:rPr>
      </w:pP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（三）涉及实行三级保护的古树的，处</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以</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每株</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五</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万元以上</w:t>
      </w:r>
      <w:r>
        <w:rPr>
          <w:rFonts w:hint="eastAsia" w:ascii="仿宋_GB2312" w:hAnsi="仿宋_GB2312" w:eastAsia="仿宋_GB2312" w:cs="仿宋_GB2312"/>
          <w:color w:val="000000" w:themeColor="text1"/>
          <w:spacing w:val="0"/>
          <w:position w:val="0"/>
          <w:sz w:val="32"/>
          <w:szCs w:val="32"/>
          <w:shd w:val="clear" w:fill="auto"/>
          <w:lang w:eastAsia="zh-CN"/>
          <w14:textFill>
            <w14:solidFill>
              <w14:schemeClr w14:val="tx1"/>
            </w14:solidFill>
          </w14:textFill>
        </w:rPr>
        <w:t>十</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万元以下的罚款。</w:t>
      </w:r>
    </w:p>
    <w:p w14:paraId="58C39F03">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642"/>
        <w:jc w:val="center"/>
        <w:textAlignment w:val="auto"/>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bookmarkStart w:id="0" w:name="_GoBack"/>
      <w:bookmarkEnd w:id="0"/>
    </w:p>
    <w:p w14:paraId="4F972604">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642"/>
        <w:jc w:val="center"/>
        <w:textAlignment w:val="auto"/>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b w:val="0"/>
          <w:bCs/>
          <w:color w:val="000000" w:themeColor="text1"/>
          <w:spacing w:val="0"/>
          <w:position w:val="0"/>
          <w:sz w:val="32"/>
          <w:szCs w:val="32"/>
          <w:shd w:val="clear" w:fill="auto"/>
          <w14:textFill>
            <w14:solidFill>
              <w14:schemeClr w14:val="tx1"/>
            </w14:solidFill>
          </w14:textFill>
        </w:rPr>
        <w:t>第六章  附  则</w:t>
      </w:r>
    </w:p>
    <w:p w14:paraId="5DEEA468">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640"/>
        <w:jc w:val="both"/>
        <w:textAlignment w:val="auto"/>
        <w:rPr>
          <w:rFonts w:hint="eastAsia" w:ascii="黑体" w:hAnsi="黑体" w:eastAsia="黑体" w:cs="黑体"/>
          <w:color w:val="000000" w:themeColor="text1"/>
          <w:spacing w:val="0"/>
          <w:position w:val="0"/>
          <w:sz w:val="32"/>
          <w:szCs w:val="32"/>
          <w:shd w:val="clear" w:fill="auto"/>
          <w14:textFill>
            <w14:solidFill>
              <w14:schemeClr w14:val="tx1"/>
            </w14:solidFill>
          </w14:textFill>
        </w:rPr>
      </w:pPr>
    </w:p>
    <w:p w14:paraId="3790EEE7">
      <w:pPr>
        <w:keepNext w:val="0"/>
        <w:keepLines w:val="0"/>
        <w:pageBreakBefore w:val="0"/>
        <w:widowControl w:val="0"/>
        <w:kinsoku/>
        <w:wordWrap/>
        <w:overflowPunct/>
        <w:topLinePunct w:val="0"/>
        <w:autoSpaceDE/>
        <w:autoSpaceDN/>
        <w:bidi w:val="0"/>
        <w:adjustRightInd/>
        <w:snapToGrid/>
        <w:spacing w:before="0" w:after="0" w:line="240" w:lineRule="auto"/>
        <w:ind w:left="0" w:right="0" w:firstLine="640"/>
        <w:jc w:val="both"/>
        <w:textAlignment w:val="auto"/>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pPr>
      <w:r>
        <w:rPr>
          <w:rFonts w:hint="eastAsia" w:ascii="黑体" w:hAnsi="黑体" w:eastAsia="黑体" w:cs="黑体"/>
          <w:color w:val="000000" w:themeColor="text1"/>
          <w:spacing w:val="0"/>
          <w:position w:val="0"/>
          <w:sz w:val="32"/>
          <w:szCs w:val="32"/>
          <w:shd w:val="clear" w:fill="auto"/>
          <w14:textFill>
            <w14:solidFill>
              <w14:schemeClr w14:val="tx1"/>
            </w14:solidFill>
          </w14:textFill>
        </w:rPr>
        <w:t>第</w:t>
      </w:r>
      <w:r>
        <w:rPr>
          <w:rFonts w:hint="eastAsia" w:ascii="黑体" w:hAnsi="黑体" w:eastAsia="黑体" w:cs="黑体"/>
          <w:color w:val="000000" w:themeColor="text1"/>
          <w:spacing w:val="0"/>
          <w:position w:val="0"/>
          <w:sz w:val="32"/>
          <w:szCs w:val="32"/>
          <w:shd w:val="clear" w:fill="auto"/>
          <w:lang w:eastAsia="zh-CN"/>
          <w14:textFill>
            <w14:solidFill>
              <w14:schemeClr w14:val="tx1"/>
            </w14:solidFill>
          </w14:textFill>
        </w:rPr>
        <w:t>四十六</w:t>
      </w:r>
      <w:r>
        <w:rPr>
          <w:rFonts w:hint="eastAsia" w:ascii="黑体" w:hAnsi="黑体" w:eastAsia="黑体" w:cs="黑体"/>
          <w:color w:val="000000" w:themeColor="text1"/>
          <w:spacing w:val="0"/>
          <w:position w:val="0"/>
          <w:sz w:val="32"/>
          <w:szCs w:val="32"/>
          <w:shd w:val="clear" w:fill="auto"/>
          <w14:textFill>
            <w14:solidFill>
              <w14:schemeClr w14:val="tx1"/>
            </w14:solidFill>
          </w14:textFill>
        </w:rPr>
        <w:t>条</w:t>
      </w:r>
      <w:r>
        <w:rPr>
          <w:rFonts w:hint="eastAsia" w:ascii="黑体" w:hAnsi="黑体" w:eastAsia="黑体" w:cs="黑体"/>
          <w:color w:val="000000" w:themeColor="text1"/>
          <w:spacing w:val="0"/>
          <w:position w:val="0"/>
          <w:sz w:val="32"/>
          <w:szCs w:val="32"/>
          <w:shd w:val="clear" w:fill="auto"/>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本条例自</w:t>
      </w:r>
      <w:r>
        <w:rPr>
          <w:rFonts w:hint="eastAsia" w:ascii="仿宋_GB2312" w:hAnsi="仿宋_GB2312" w:eastAsia="仿宋_GB2312" w:cs="仿宋_GB2312"/>
          <w:color w:val="000000" w:themeColor="text1"/>
          <w:spacing w:val="0"/>
          <w:position w:val="0"/>
          <w:sz w:val="32"/>
          <w:szCs w:val="32"/>
          <w:shd w:val="clear" w:fill="auto"/>
          <w:lang w:val="en-US" w:eastAsia="zh-CN"/>
          <w14:textFill>
            <w14:solidFill>
              <w14:schemeClr w14:val="tx1"/>
            </w14:solidFill>
          </w14:textFill>
        </w:rPr>
        <w:t>2025</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年</w:t>
      </w:r>
      <w:r>
        <w:rPr>
          <w:rFonts w:hint="eastAsia" w:ascii="仿宋_GB2312" w:hAnsi="仿宋_GB2312" w:eastAsia="仿宋_GB2312" w:cs="仿宋_GB2312"/>
          <w:color w:val="000000" w:themeColor="text1"/>
          <w:spacing w:val="0"/>
          <w:position w:val="0"/>
          <w:sz w:val="32"/>
          <w:szCs w:val="32"/>
          <w:shd w:val="clear" w:fill="auto"/>
          <w:lang w:val="en-US" w:eastAsia="zh-CN"/>
          <w14:textFill>
            <w14:solidFill>
              <w14:schemeClr w14:val="tx1"/>
            </w14:solidFill>
          </w14:textFill>
        </w:rPr>
        <w:t>9</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月</w:t>
      </w:r>
      <w:r>
        <w:rPr>
          <w:rFonts w:hint="eastAsia" w:ascii="仿宋_GB2312" w:hAnsi="仿宋_GB2312" w:eastAsia="仿宋_GB2312" w:cs="仿宋_GB2312"/>
          <w:color w:val="000000" w:themeColor="text1"/>
          <w:spacing w:val="0"/>
          <w:position w:val="0"/>
          <w:sz w:val="32"/>
          <w:szCs w:val="32"/>
          <w:shd w:val="clear" w:fill="auto"/>
          <w:lang w:val="en-US" w:eastAsia="zh-CN"/>
          <w14:textFill>
            <w14:solidFill>
              <w14:schemeClr w14:val="tx1"/>
            </w14:solidFill>
          </w14:textFill>
        </w:rPr>
        <w:t>1</w:t>
      </w:r>
      <w:r>
        <w:rPr>
          <w:rFonts w:hint="eastAsia" w:ascii="仿宋_GB2312" w:hAnsi="仿宋_GB2312" w:eastAsia="仿宋_GB2312" w:cs="仿宋_GB2312"/>
          <w:color w:val="000000" w:themeColor="text1"/>
          <w:spacing w:val="0"/>
          <w:position w:val="0"/>
          <w:sz w:val="32"/>
          <w:szCs w:val="32"/>
          <w:shd w:val="clear" w:fill="auto"/>
          <w14:textFill>
            <w14:solidFill>
              <w14:schemeClr w14:val="tx1"/>
            </w14:solidFill>
          </w14:textFill>
        </w:rPr>
        <w:t>日起施行。</w:t>
      </w:r>
    </w:p>
    <w:sectPr>
      <w:footerReference r:id="rId3" w:type="default"/>
      <w:pgSz w:w="11906" w:h="16838"/>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Nimbus Roman No9 L"/>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66DFE">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F042D9">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CF042D9">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E7CD82"/>
    <w:rsid w:val="17FF56D9"/>
    <w:rsid w:val="1FDE2D03"/>
    <w:rsid w:val="1FFEA5A4"/>
    <w:rsid w:val="25ED3E87"/>
    <w:rsid w:val="279F8A4E"/>
    <w:rsid w:val="2E6ECCDA"/>
    <w:rsid w:val="2FBA7CE9"/>
    <w:rsid w:val="2FCB9AA4"/>
    <w:rsid w:val="2FDEF9A5"/>
    <w:rsid w:val="336F6585"/>
    <w:rsid w:val="370B7BE5"/>
    <w:rsid w:val="37D71C9C"/>
    <w:rsid w:val="39EF26BF"/>
    <w:rsid w:val="3ACF13C9"/>
    <w:rsid w:val="3AE8FE8F"/>
    <w:rsid w:val="3AF30076"/>
    <w:rsid w:val="3BCF912B"/>
    <w:rsid w:val="3BEF33F4"/>
    <w:rsid w:val="3BFFAF8A"/>
    <w:rsid w:val="3CE7051D"/>
    <w:rsid w:val="3ED7FA4D"/>
    <w:rsid w:val="3EDAC500"/>
    <w:rsid w:val="3EFF181E"/>
    <w:rsid w:val="3F56DA6A"/>
    <w:rsid w:val="3F5FA629"/>
    <w:rsid w:val="3FDE1DE9"/>
    <w:rsid w:val="3FFD095A"/>
    <w:rsid w:val="3FFF5F0B"/>
    <w:rsid w:val="47ECC5CB"/>
    <w:rsid w:val="49FB5083"/>
    <w:rsid w:val="4BFF3B45"/>
    <w:rsid w:val="4BFFF0B3"/>
    <w:rsid w:val="4CFA053A"/>
    <w:rsid w:val="4CFA71A6"/>
    <w:rsid w:val="4E7F7BED"/>
    <w:rsid w:val="4EDD6B41"/>
    <w:rsid w:val="4FD6062F"/>
    <w:rsid w:val="4FD9E29E"/>
    <w:rsid w:val="4FDE5387"/>
    <w:rsid w:val="53EFE5B3"/>
    <w:rsid w:val="55FEDB35"/>
    <w:rsid w:val="56973B3C"/>
    <w:rsid w:val="58AFBC5C"/>
    <w:rsid w:val="5BFDE2A9"/>
    <w:rsid w:val="5DDBED86"/>
    <w:rsid w:val="5DFE1E13"/>
    <w:rsid w:val="5E6374AE"/>
    <w:rsid w:val="5EF56842"/>
    <w:rsid w:val="5EFEF171"/>
    <w:rsid w:val="5F9F2952"/>
    <w:rsid w:val="5FD35FA9"/>
    <w:rsid w:val="5FFE8EA9"/>
    <w:rsid w:val="5FFFE618"/>
    <w:rsid w:val="675EBC64"/>
    <w:rsid w:val="67F39C9D"/>
    <w:rsid w:val="6B7EFE01"/>
    <w:rsid w:val="6BBA67AB"/>
    <w:rsid w:val="6C5E63BB"/>
    <w:rsid w:val="6DFA717A"/>
    <w:rsid w:val="6DFF2840"/>
    <w:rsid w:val="6E317861"/>
    <w:rsid w:val="6FDFD150"/>
    <w:rsid w:val="6FE5940F"/>
    <w:rsid w:val="6FEB0C83"/>
    <w:rsid w:val="6FF66437"/>
    <w:rsid w:val="6FF92911"/>
    <w:rsid w:val="6FFEEF57"/>
    <w:rsid w:val="73B71ECD"/>
    <w:rsid w:val="73FF1009"/>
    <w:rsid w:val="74BD489A"/>
    <w:rsid w:val="74E5FD7F"/>
    <w:rsid w:val="74F39F99"/>
    <w:rsid w:val="74F657F0"/>
    <w:rsid w:val="75ABB117"/>
    <w:rsid w:val="766F2B6B"/>
    <w:rsid w:val="76A2A2D8"/>
    <w:rsid w:val="76E1F334"/>
    <w:rsid w:val="76FBF5BC"/>
    <w:rsid w:val="777F59E0"/>
    <w:rsid w:val="779FE27A"/>
    <w:rsid w:val="77B95551"/>
    <w:rsid w:val="77BA677B"/>
    <w:rsid w:val="77BB1825"/>
    <w:rsid w:val="77C47C9D"/>
    <w:rsid w:val="77F51EA2"/>
    <w:rsid w:val="796FD3C3"/>
    <w:rsid w:val="79F5C486"/>
    <w:rsid w:val="7A763020"/>
    <w:rsid w:val="7A9D2319"/>
    <w:rsid w:val="7AF72016"/>
    <w:rsid w:val="7B3BE752"/>
    <w:rsid w:val="7B59785B"/>
    <w:rsid w:val="7B6FBC87"/>
    <w:rsid w:val="7BBF7486"/>
    <w:rsid w:val="7BCDFE94"/>
    <w:rsid w:val="7BD734E8"/>
    <w:rsid w:val="7BEF3ED4"/>
    <w:rsid w:val="7BEF5533"/>
    <w:rsid w:val="7BFA5687"/>
    <w:rsid w:val="7D6CE879"/>
    <w:rsid w:val="7D76DA51"/>
    <w:rsid w:val="7DB96F53"/>
    <w:rsid w:val="7DC65E5D"/>
    <w:rsid w:val="7DE3861B"/>
    <w:rsid w:val="7E7B3F25"/>
    <w:rsid w:val="7EAEB7A5"/>
    <w:rsid w:val="7EDE815E"/>
    <w:rsid w:val="7EFA79FD"/>
    <w:rsid w:val="7EFF5EBE"/>
    <w:rsid w:val="7F0E12C3"/>
    <w:rsid w:val="7F4DC9A6"/>
    <w:rsid w:val="7F5F673F"/>
    <w:rsid w:val="7F6EFFFE"/>
    <w:rsid w:val="7F7DB01E"/>
    <w:rsid w:val="7F7F76C5"/>
    <w:rsid w:val="7F7FD21D"/>
    <w:rsid w:val="7F8E8912"/>
    <w:rsid w:val="7FB9F436"/>
    <w:rsid w:val="7FBD039F"/>
    <w:rsid w:val="7FDD415F"/>
    <w:rsid w:val="7FE3A257"/>
    <w:rsid w:val="7FE59E26"/>
    <w:rsid w:val="7FEE27E4"/>
    <w:rsid w:val="7FF72229"/>
    <w:rsid w:val="7FFD59D3"/>
    <w:rsid w:val="7FFD7C5A"/>
    <w:rsid w:val="7FFE11E5"/>
    <w:rsid w:val="7FFF3EBF"/>
    <w:rsid w:val="7FFF711E"/>
    <w:rsid w:val="7FFFD544"/>
    <w:rsid w:val="897DD403"/>
    <w:rsid w:val="8BF60623"/>
    <w:rsid w:val="8DFFFBDF"/>
    <w:rsid w:val="949F18C8"/>
    <w:rsid w:val="95B7DA80"/>
    <w:rsid w:val="9DBB691B"/>
    <w:rsid w:val="9DD82B57"/>
    <w:rsid w:val="9EEF35EC"/>
    <w:rsid w:val="9F3F75B0"/>
    <w:rsid w:val="9F5112C7"/>
    <w:rsid w:val="9FFDA316"/>
    <w:rsid w:val="A1EFDC07"/>
    <w:rsid w:val="A49B9C1F"/>
    <w:rsid w:val="A57B39CB"/>
    <w:rsid w:val="A7FFFA2B"/>
    <w:rsid w:val="AD9722F4"/>
    <w:rsid w:val="AFFF27CC"/>
    <w:rsid w:val="B3BF3947"/>
    <w:rsid w:val="B3FE1CFE"/>
    <w:rsid w:val="B5F59CA3"/>
    <w:rsid w:val="B6FFA443"/>
    <w:rsid w:val="B77D6887"/>
    <w:rsid w:val="B9BF702E"/>
    <w:rsid w:val="BAED6F98"/>
    <w:rsid w:val="BBB7B50A"/>
    <w:rsid w:val="BCFA03AC"/>
    <w:rsid w:val="BD5BED1E"/>
    <w:rsid w:val="BDDD89E1"/>
    <w:rsid w:val="BF93DE6F"/>
    <w:rsid w:val="BF9F89BD"/>
    <w:rsid w:val="BFCF73A3"/>
    <w:rsid w:val="BFF6C778"/>
    <w:rsid w:val="C6E39230"/>
    <w:rsid w:val="CCEA2BD4"/>
    <w:rsid w:val="CFBC24D1"/>
    <w:rsid w:val="CFFFF6F7"/>
    <w:rsid w:val="D2AF9679"/>
    <w:rsid w:val="D3F3DD5F"/>
    <w:rsid w:val="D3FFA329"/>
    <w:rsid w:val="D76C0A24"/>
    <w:rsid w:val="D7AF76E0"/>
    <w:rsid w:val="D7BF6875"/>
    <w:rsid w:val="D7DE22E9"/>
    <w:rsid w:val="D7DFDF4E"/>
    <w:rsid w:val="D7FDCC55"/>
    <w:rsid w:val="DAD5B162"/>
    <w:rsid w:val="DB3F5707"/>
    <w:rsid w:val="DB978D48"/>
    <w:rsid w:val="DBBAFF41"/>
    <w:rsid w:val="DBD9F4AE"/>
    <w:rsid w:val="DBDF3E6F"/>
    <w:rsid w:val="DC57A462"/>
    <w:rsid w:val="DDB4BEF0"/>
    <w:rsid w:val="DF4F63D3"/>
    <w:rsid w:val="DFF84EC9"/>
    <w:rsid w:val="E15D766F"/>
    <w:rsid w:val="E4F7292C"/>
    <w:rsid w:val="E5763E7C"/>
    <w:rsid w:val="E5BDED8E"/>
    <w:rsid w:val="E6FF0DDD"/>
    <w:rsid w:val="E8E6D234"/>
    <w:rsid w:val="E8FD6F73"/>
    <w:rsid w:val="E97F5C3F"/>
    <w:rsid w:val="EB6FCBDB"/>
    <w:rsid w:val="EB7BC582"/>
    <w:rsid w:val="EBBEC2E7"/>
    <w:rsid w:val="EBBFC38A"/>
    <w:rsid w:val="EDCF0BF6"/>
    <w:rsid w:val="EEB3B78C"/>
    <w:rsid w:val="EEDF1185"/>
    <w:rsid w:val="EEEAC5B2"/>
    <w:rsid w:val="EF47E319"/>
    <w:rsid w:val="EF707FDF"/>
    <w:rsid w:val="EF7D9A37"/>
    <w:rsid w:val="EFEBD828"/>
    <w:rsid w:val="EFFB07D7"/>
    <w:rsid w:val="EFFF259B"/>
    <w:rsid w:val="EFFFA7D9"/>
    <w:rsid w:val="EFFFB311"/>
    <w:rsid w:val="F16CC8B8"/>
    <w:rsid w:val="F39D5F84"/>
    <w:rsid w:val="F3BF3391"/>
    <w:rsid w:val="F3DB5955"/>
    <w:rsid w:val="F3EEE9C8"/>
    <w:rsid w:val="F3F75884"/>
    <w:rsid w:val="F3FF23DE"/>
    <w:rsid w:val="F5E94347"/>
    <w:rsid w:val="F5F75FAD"/>
    <w:rsid w:val="F5F7CCC0"/>
    <w:rsid w:val="F5FF223F"/>
    <w:rsid w:val="F677CB50"/>
    <w:rsid w:val="F6DB52DD"/>
    <w:rsid w:val="F77743B6"/>
    <w:rsid w:val="F7AFC63E"/>
    <w:rsid w:val="F7DF5D5C"/>
    <w:rsid w:val="F7F56177"/>
    <w:rsid w:val="F7F5E08B"/>
    <w:rsid w:val="F7FFDA82"/>
    <w:rsid w:val="F87CF67B"/>
    <w:rsid w:val="F96C19BC"/>
    <w:rsid w:val="F97EDAC7"/>
    <w:rsid w:val="F9DF9204"/>
    <w:rsid w:val="FAFC2983"/>
    <w:rsid w:val="FB3FE620"/>
    <w:rsid w:val="FB5D2B6E"/>
    <w:rsid w:val="FBBF5E01"/>
    <w:rsid w:val="FBD70683"/>
    <w:rsid w:val="FBDD4FD5"/>
    <w:rsid w:val="FBDDBD92"/>
    <w:rsid w:val="FBE74E31"/>
    <w:rsid w:val="FBF10E40"/>
    <w:rsid w:val="FBFB6F55"/>
    <w:rsid w:val="FBFFB1D3"/>
    <w:rsid w:val="FD8F9D79"/>
    <w:rsid w:val="FDFF3F4A"/>
    <w:rsid w:val="FDFFC964"/>
    <w:rsid w:val="FE3E388A"/>
    <w:rsid w:val="FE3EDC0D"/>
    <w:rsid w:val="FE452C2E"/>
    <w:rsid w:val="FE6F5597"/>
    <w:rsid w:val="FEAD2D75"/>
    <w:rsid w:val="FEB747F4"/>
    <w:rsid w:val="FEDBF693"/>
    <w:rsid w:val="FEECB3D8"/>
    <w:rsid w:val="FF5E5939"/>
    <w:rsid w:val="FF7735D8"/>
    <w:rsid w:val="FF7F52DE"/>
    <w:rsid w:val="FF82FC95"/>
    <w:rsid w:val="FF87B125"/>
    <w:rsid w:val="FF9B0F37"/>
    <w:rsid w:val="FF9FDE50"/>
    <w:rsid w:val="FFAEF084"/>
    <w:rsid w:val="FFB46767"/>
    <w:rsid w:val="FFBF2256"/>
    <w:rsid w:val="FFBF5F82"/>
    <w:rsid w:val="FFD7EA64"/>
    <w:rsid w:val="FFDBDF3B"/>
    <w:rsid w:val="FFDE2D69"/>
    <w:rsid w:val="FFE6F27D"/>
    <w:rsid w:val="FFEFDA07"/>
    <w:rsid w:val="FFF621FB"/>
    <w:rsid w:val="FFF622CD"/>
    <w:rsid w:val="FFFBF1D2"/>
    <w:rsid w:val="FFFE4BAA"/>
    <w:rsid w:val="FFFE6709"/>
    <w:rsid w:val="FFFF13D5"/>
    <w:rsid w:val="FFFF3C10"/>
    <w:rsid w:val="FFFF96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Pages>
  <TotalTime>8</TotalTime>
  <ScaleCrop>false</ScaleCrop>
  <LinksUpToDate>false</LinksUpToDate>
  <Application>WPS Office_12.8.2.1119_F1E327BC-269C-435d-A152-05C5408002CA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2025-05-14T13:52:00Z</dcterms:created>
  <dc:creator>user</dc:creator>
  <cp:lastModifiedBy>Mini</cp:lastModifiedBy>
  <cp:lastPrinted>2025-06-19T01:31:00Z</cp:lastPrinted>
  <dcterms:modified xsi:type="dcterms:W3CDTF">2025-07-30T12:16:21Z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4B02052EBE010AAB5AEA866806409C20_43</vt:lpwstr>
  </property>
</Properties>
</file>